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83F97" w14:textId="15CEB678" w:rsidR="00857D4F" w:rsidRPr="00857D4F" w:rsidRDefault="00D30018" w:rsidP="00A11FF2">
      <w:pPr>
        <w:jc w:val="center"/>
        <w:rPr>
          <w:rFonts w:ascii="Minion Pro Bold Cond" w:hAnsi="Minion Pro Bold Cond"/>
          <w:b/>
          <w:color w:val="008000"/>
          <w:sz w:val="32"/>
          <w:szCs w:val="32"/>
        </w:rPr>
      </w:pPr>
      <w:r>
        <w:rPr>
          <w:rFonts w:ascii="Minion Pro Bold Cond" w:hAnsi="Minion Pro Bold Cond"/>
          <w:b/>
          <w:color w:val="008000"/>
          <w:sz w:val="32"/>
          <w:szCs w:val="32"/>
        </w:rPr>
        <w:t>ENVS/</w:t>
      </w:r>
      <w:r w:rsidR="00857D4F" w:rsidRPr="00857D4F">
        <w:rPr>
          <w:rFonts w:ascii="Minion Pro Bold Cond" w:hAnsi="Minion Pro Bold Cond"/>
          <w:b/>
          <w:color w:val="008000"/>
          <w:sz w:val="32"/>
          <w:szCs w:val="32"/>
        </w:rPr>
        <w:t>ANSO 460</w:t>
      </w:r>
      <w:r w:rsidR="00857D4F">
        <w:rPr>
          <w:rFonts w:ascii="Minion Pro Bold Cond" w:hAnsi="Minion Pro Bold Cond"/>
          <w:b/>
          <w:color w:val="008000"/>
          <w:sz w:val="32"/>
          <w:szCs w:val="32"/>
        </w:rPr>
        <w:t>/470</w:t>
      </w:r>
    </w:p>
    <w:p w14:paraId="470C3AB4" w14:textId="77777777" w:rsidR="00857D4F" w:rsidRDefault="00857D4F" w:rsidP="00A11FF2">
      <w:pPr>
        <w:jc w:val="center"/>
        <w:rPr>
          <w:rFonts w:ascii="Minion Pro Bold Cond" w:hAnsi="Minion Pro Bold Cond"/>
          <w:b/>
          <w:color w:val="008000"/>
          <w:sz w:val="32"/>
          <w:szCs w:val="32"/>
        </w:rPr>
      </w:pPr>
      <w:r w:rsidRPr="00857D4F">
        <w:rPr>
          <w:rFonts w:ascii="Minion Pro Bold Cond" w:hAnsi="Minion Pro Bold Cond"/>
          <w:b/>
          <w:color w:val="008000"/>
          <w:sz w:val="32"/>
          <w:szCs w:val="32"/>
        </w:rPr>
        <w:t>ENVIRONMENTAL SUSTAINABILITY</w:t>
      </w:r>
    </w:p>
    <w:p w14:paraId="3B34E3BB" w14:textId="77777777" w:rsidR="00857D4F" w:rsidRDefault="00857D4F" w:rsidP="00A11FF2">
      <w:pPr>
        <w:jc w:val="center"/>
        <w:rPr>
          <w:rFonts w:ascii="Minion Pro Bold Cond" w:hAnsi="Minion Pro Bold Cond"/>
          <w:b/>
          <w:color w:val="008000"/>
          <w:sz w:val="32"/>
          <w:szCs w:val="32"/>
        </w:rPr>
      </w:pPr>
      <w:r w:rsidRPr="00857D4F">
        <w:rPr>
          <w:rFonts w:ascii="Minion Pro Bold Cond" w:hAnsi="Minion Pro Bold Cond"/>
          <w:b/>
          <w:color w:val="008000"/>
          <w:sz w:val="32"/>
          <w:szCs w:val="32"/>
        </w:rPr>
        <w:t>INTERNSHIPS</w:t>
      </w:r>
      <w:r>
        <w:rPr>
          <w:rFonts w:ascii="Minion Pro Bold Cond" w:hAnsi="Minion Pro Bold Cond"/>
          <w:b/>
          <w:color w:val="008000"/>
          <w:sz w:val="32"/>
          <w:szCs w:val="32"/>
        </w:rPr>
        <w:t xml:space="preserve"> AND FELLOWSHIPS</w:t>
      </w:r>
    </w:p>
    <w:p w14:paraId="77115CB0" w14:textId="77777777" w:rsidR="00857D4F" w:rsidRDefault="00857D4F" w:rsidP="00857D4F">
      <w:pPr>
        <w:jc w:val="center"/>
        <w:rPr>
          <w:rFonts w:ascii="Minion Pro Bold Cond" w:hAnsi="Minion Pro Bold Cond"/>
          <w:b/>
          <w:color w:val="008000"/>
          <w:sz w:val="32"/>
          <w:szCs w:val="32"/>
        </w:rPr>
      </w:pPr>
    </w:p>
    <w:p w14:paraId="701DD162" w14:textId="77777777" w:rsidR="00857D4F" w:rsidRPr="00857D4F" w:rsidRDefault="00857D4F" w:rsidP="00857D4F">
      <w:pPr>
        <w:jc w:val="center"/>
        <w:rPr>
          <w:rFonts w:ascii="Minion Pro Bold Cond" w:hAnsi="Minion Pro Bold Cond"/>
          <w:b/>
          <w:color w:val="008000"/>
          <w:sz w:val="32"/>
          <w:szCs w:val="32"/>
        </w:rPr>
      </w:pPr>
      <w:r>
        <w:rPr>
          <w:rFonts w:eastAsia="Times New Roman" w:cs="Times New Roman"/>
          <w:noProof/>
        </w:rPr>
        <w:drawing>
          <wp:inline distT="0" distB="0" distL="0" distR="0" wp14:anchorId="10238437" wp14:editId="3D93EC80">
            <wp:extent cx="4242916" cy="2830280"/>
            <wp:effectExtent l="0" t="0" r="0" b="0"/>
            <wp:docPr id="8" name="irc_mi" descr="https://petersonsprod.blob.core.windows.net/static/cdn/editorial_images/Careers/g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etersonsprod.blob.core.windows.net/static/cdn/editorial_images/Careers/gree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7355" cy="2833241"/>
                    </a:xfrm>
                    <a:prstGeom prst="rect">
                      <a:avLst/>
                    </a:prstGeom>
                    <a:noFill/>
                    <a:ln>
                      <a:noFill/>
                    </a:ln>
                  </pic:spPr>
                </pic:pic>
              </a:graphicData>
            </a:graphic>
          </wp:inline>
        </w:drawing>
      </w:r>
    </w:p>
    <w:p w14:paraId="42F689C6" w14:textId="77777777" w:rsidR="00956279" w:rsidRDefault="00956279"/>
    <w:p w14:paraId="07103D6F" w14:textId="77777777" w:rsidR="00857D4F" w:rsidRPr="00F33680" w:rsidRDefault="00857D4F" w:rsidP="00857D4F">
      <w:pPr>
        <w:jc w:val="center"/>
        <w:rPr>
          <w:b/>
          <w:color w:val="365F91" w:themeColor="accent1" w:themeShade="BF"/>
          <w:sz w:val="28"/>
          <w:szCs w:val="28"/>
        </w:rPr>
      </w:pPr>
      <w:r w:rsidRPr="00F33680">
        <w:rPr>
          <w:b/>
          <w:color w:val="365F91" w:themeColor="accent1" w:themeShade="BF"/>
          <w:sz w:val="28"/>
          <w:szCs w:val="28"/>
        </w:rPr>
        <w:t>Prof. Kimberly Kasper</w:t>
      </w:r>
    </w:p>
    <w:p w14:paraId="15119043" w14:textId="77777777" w:rsidR="00857D4F" w:rsidRDefault="00857D4F" w:rsidP="00857D4F">
      <w:pPr>
        <w:jc w:val="center"/>
        <w:rPr>
          <w:b/>
          <w:color w:val="365F91" w:themeColor="accent1" w:themeShade="BF"/>
          <w:sz w:val="28"/>
          <w:szCs w:val="28"/>
        </w:rPr>
      </w:pPr>
      <w:r>
        <w:rPr>
          <w:b/>
          <w:color w:val="365F91" w:themeColor="accent1" w:themeShade="BF"/>
          <w:sz w:val="28"/>
          <w:szCs w:val="28"/>
        </w:rPr>
        <w:t>Various Field Sites and Fri. 12-12:50 (bi-weekly)</w:t>
      </w:r>
    </w:p>
    <w:p w14:paraId="5DD81203" w14:textId="77777777" w:rsidR="00857D4F" w:rsidRDefault="00857D4F">
      <w:pPr>
        <w:rPr>
          <w:b/>
          <w:color w:val="365F91" w:themeColor="accent1" w:themeShade="BF"/>
          <w:sz w:val="28"/>
          <w:szCs w:val="28"/>
        </w:rPr>
      </w:pPr>
    </w:p>
    <w:p w14:paraId="4537D55B" w14:textId="77777777" w:rsidR="00857D4F" w:rsidRPr="00857D4F" w:rsidRDefault="00857D4F" w:rsidP="00857D4F">
      <w:pPr>
        <w:rPr>
          <w:b/>
        </w:rPr>
      </w:pPr>
      <w:r w:rsidRPr="00857D4F">
        <w:rPr>
          <w:b/>
        </w:rPr>
        <w:t xml:space="preserve">Course Description: </w:t>
      </w:r>
    </w:p>
    <w:p w14:paraId="0A00DCDA" w14:textId="77777777" w:rsidR="00857D4F" w:rsidRDefault="00857D4F" w:rsidP="00857D4F"/>
    <w:p w14:paraId="5E255409" w14:textId="77777777" w:rsidR="00857D4F" w:rsidRDefault="00857D4F" w:rsidP="00857D4F">
      <w:pPr>
        <w:rPr>
          <w:rFonts w:ascii="Times New Roman" w:eastAsia="Times New Roman" w:hAnsi="Times New Roman" w:cs="Times New Roman"/>
        </w:rPr>
      </w:pPr>
      <w:r w:rsidRPr="00435D76">
        <w:rPr>
          <w:rFonts w:ascii="Times New Roman" w:eastAsia="Times New Roman" w:hAnsi="Times New Roman" w:cs="Times New Roman"/>
        </w:rPr>
        <w:t>This internship encompasses a supervised integrative education experience in the community outside Rhodes College (e.g. environmental and food-based non-profits, social agencies, consulting firms, neighborhood associations, volunteer organizations, churches etc.). In collaboration with the above community partners, this distinctive opportunity each fall and spring semester is designed for students pursing environmentally oriented interests and professions (e.g. non-profit careers, lab-based research, policy work and post-graduate education).</w:t>
      </w:r>
      <w:r>
        <w:rPr>
          <w:rFonts w:ascii="Times New Roman" w:eastAsia="Times New Roman" w:hAnsi="Times New Roman" w:cs="Times New Roman"/>
        </w:rPr>
        <w:t xml:space="preserve"> This opportunity within the</w:t>
      </w:r>
      <w:r w:rsidRPr="00435D76">
        <w:rPr>
          <w:rFonts w:ascii="Times New Roman" w:eastAsia="Times New Roman" w:hAnsi="Times New Roman" w:cs="Times New Roman"/>
        </w:rPr>
        <w:t xml:space="preserve"> department will offer environmental internship placements that integrate academic work with professional experience while working with community partners to promote sustainability in Memphis. </w:t>
      </w:r>
      <w:r>
        <w:rPr>
          <w:rFonts w:ascii="Times New Roman" w:eastAsia="Times New Roman" w:hAnsi="Times New Roman" w:cs="Times New Roman"/>
        </w:rPr>
        <w:t>More specifically, t</w:t>
      </w:r>
      <w:r w:rsidRPr="00435D76">
        <w:rPr>
          <w:rFonts w:ascii="Times New Roman" w:eastAsia="Times New Roman" w:hAnsi="Times New Roman" w:cs="Times New Roman"/>
        </w:rPr>
        <w:t>he internships focus is on the intersections of environment and social justice concerns for economically and socially marginalized groups in Memphis.</w:t>
      </w:r>
      <w:r>
        <w:rPr>
          <w:rFonts w:ascii="Times New Roman" w:eastAsia="Times New Roman" w:hAnsi="Times New Roman" w:cs="Times New Roman"/>
        </w:rPr>
        <w:t xml:space="preserve"> Students can participate in the internship either in the fall and spring but it is preferred that participation occurs in both semesters.  </w:t>
      </w:r>
    </w:p>
    <w:p w14:paraId="5915C9FD" w14:textId="77777777" w:rsidR="00857D4F" w:rsidRDefault="00857D4F"/>
    <w:p w14:paraId="33F2DE41" w14:textId="77777777" w:rsidR="00857D4F" w:rsidRDefault="00770580" w:rsidP="00857D4F">
      <w:pPr>
        <w:rPr>
          <w:rFonts w:ascii="Times New Roman" w:hAnsi="Times New Roman" w:cs="Times New Roman"/>
          <w:b/>
        </w:rPr>
      </w:pPr>
      <w:r>
        <w:rPr>
          <w:rFonts w:ascii="Times New Roman" w:hAnsi="Times New Roman" w:cs="Times New Roman"/>
          <w:b/>
        </w:rPr>
        <w:t>Meeting Times:</w:t>
      </w:r>
    </w:p>
    <w:p w14:paraId="07453A4F" w14:textId="77777777" w:rsidR="00857D4F" w:rsidRDefault="00857D4F" w:rsidP="00857D4F">
      <w:pPr>
        <w:rPr>
          <w:rFonts w:ascii="Times New Roman" w:hAnsi="Times New Roman" w:cs="Times New Roman"/>
        </w:rPr>
      </w:pPr>
      <w:r w:rsidRPr="000A64C0">
        <w:rPr>
          <w:rFonts w:ascii="Times New Roman" w:hAnsi="Times New Roman" w:cs="Times New Roman"/>
        </w:rPr>
        <w:t>The professor and students will meet bi-wee</w:t>
      </w:r>
      <w:r>
        <w:rPr>
          <w:rFonts w:ascii="Times New Roman" w:hAnsi="Times New Roman" w:cs="Times New Roman"/>
        </w:rPr>
        <w:t>kly as a larger group for 50 minutes</w:t>
      </w:r>
      <w:r w:rsidR="00770580">
        <w:rPr>
          <w:rFonts w:ascii="Times New Roman" w:hAnsi="Times New Roman" w:cs="Times New Roman"/>
        </w:rPr>
        <w:t xml:space="preserve"> on Friday’s</w:t>
      </w:r>
      <w:r w:rsidRPr="000A64C0">
        <w:rPr>
          <w:rFonts w:ascii="Times New Roman" w:hAnsi="Times New Roman" w:cs="Times New Roman"/>
        </w:rPr>
        <w:t>. On the off week(s) the professor will meet with individual student groups who are in need of additional guidance on projects, collaboration etc.</w:t>
      </w:r>
      <w:r>
        <w:rPr>
          <w:rFonts w:ascii="Times New Roman" w:hAnsi="Times New Roman" w:cs="Times New Roman"/>
        </w:rPr>
        <w:t xml:space="preserve"> </w:t>
      </w:r>
    </w:p>
    <w:p w14:paraId="2F8F118C" w14:textId="77777777" w:rsidR="00857D4F" w:rsidRDefault="00857D4F" w:rsidP="00857D4F">
      <w:pPr>
        <w:rPr>
          <w:rFonts w:ascii="Times New Roman" w:hAnsi="Times New Roman" w:cs="Times New Roman"/>
          <w:b/>
        </w:rPr>
      </w:pPr>
    </w:p>
    <w:p w14:paraId="1EA0E65A" w14:textId="77777777" w:rsidR="00857D4F" w:rsidRPr="00DB470D" w:rsidRDefault="00857D4F" w:rsidP="00857D4F">
      <w:pPr>
        <w:rPr>
          <w:rFonts w:ascii="Times New Roman" w:hAnsi="Times New Roman" w:cs="Times New Roman"/>
          <w:b/>
        </w:rPr>
      </w:pPr>
      <w:r w:rsidRPr="00DB470D">
        <w:rPr>
          <w:rFonts w:ascii="Times New Roman" w:hAnsi="Times New Roman" w:cs="Times New Roman"/>
          <w:b/>
        </w:rPr>
        <w:lastRenderedPageBreak/>
        <w:t>Work Load</w:t>
      </w:r>
      <w:r w:rsidR="00770580">
        <w:rPr>
          <w:rFonts w:ascii="Times New Roman" w:hAnsi="Times New Roman" w:cs="Times New Roman"/>
          <w:b/>
        </w:rPr>
        <w:t>:</w:t>
      </w:r>
    </w:p>
    <w:p w14:paraId="1DB1D0E8" w14:textId="0549AEFA" w:rsidR="00857D4F" w:rsidRPr="00DB470D" w:rsidRDefault="00857D4F" w:rsidP="00857D4F">
      <w:pPr>
        <w:rPr>
          <w:rFonts w:ascii="Times New Roman" w:hAnsi="Times New Roman" w:cs="Times New Roman"/>
        </w:rPr>
      </w:pPr>
      <w:r>
        <w:rPr>
          <w:rFonts w:ascii="Times New Roman" w:hAnsi="Times New Roman" w:cs="Times New Roman"/>
        </w:rPr>
        <w:t>Each bi-weekly meeting, each student group will pick at least two articles or media relevant to their group and guide discussion. Also bi-weekly, the students ar</w:t>
      </w:r>
      <w:r w:rsidR="00770580">
        <w:rPr>
          <w:rFonts w:ascii="Times New Roman" w:hAnsi="Times New Roman" w:cs="Times New Roman"/>
        </w:rPr>
        <w:t xml:space="preserve">e expected to put in </w:t>
      </w:r>
      <w:r w:rsidR="00210067">
        <w:rPr>
          <w:rFonts w:ascii="Times New Roman" w:hAnsi="Times New Roman" w:cs="Times New Roman"/>
        </w:rPr>
        <w:t>his/her</w:t>
      </w:r>
      <w:r w:rsidR="00770580">
        <w:rPr>
          <w:rFonts w:ascii="Times New Roman" w:hAnsi="Times New Roman" w:cs="Times New Roman"/>
        </w:rPr>
        <w:t xml:space="preserve"> dropbox folder</w:t>
      </w:r>
      <w:r>
        <w:rPr>
          <w:rFonts w:ascii="Times New Roman" w:hAnsi="Times New Roman" w:cs="Times New Roman"/>
        </w:rPr>
        <w:t xml:space="preserve"> </w:t>
      </w:r>
      <w:r w:rsidR="00770580">
        <w:rPr>
          <w:rFonts w:ascii="Times New Roman" w:hAnsi="Times New Roman" w:cs="Times New Roman"/>
        </w:rPr>
        <w:t>his/her</w:t>
      </w:r>
      <w:r>
        <w:rPr>
          <w:rFonts w:ascii="Times New Roman" w:hAnsi="Times New Roman" w:cs="Times New Roman"/>
        </w:rPr>
        <w:t xml:space="preserve"> daily reflections</w:t>
      </w:r>
      <w:r w:rsidR="00770580">
        <w:rPr>
          <w:rFonts w:ascii="Times New Roman" w:hAnsi="Times New Roman" w:cs="Times New Roman"/>
        </w:rPr>
        <w:t xml:space="preserve"> with his/her time sheet (by Wednesday </w:t>
      </w:r>
      <w:r w:rsidR="006772D6">
        <w:rPr>
          <w:rFonts w:ascii="Times New Roman" w:hAnsi="Times New Roman" w:cs="Times New Roman"/>
        </w:rPr>
        <w:t>at 5 pm</w:t>
      </w:r>
      <w:r w:rsidR="007936B3">
        <w:rPr>
          <w:rFonts w:ascii="Times New Roman" w:hAnsi="Times New Roman" w:cs="Times New Roman"/>
        </w:rPr>
        <w:t xml:space="preserve"> </w:t>
      </w:r>
      <w:r w:rsidR="00770580">
        <w:rPr>
          <w:rFonts w:ascii="Times New Roman" w:hAnsi="Times New Roman" w:cs="Times New Roman"/>
        </w:rPr>
        <w:t>before the bi-weekly meeting)</w:t>
      </w:r>
      <w:r>
        <w:rPr>
          <w:rFonts w:ascii="Times New Roman" w:hAnsi="Times New Roman" w:cs="Times New Roman"/>
        </w:rPr>
        <w:t xml:space="preserve">. </w:t>
      </w:r>
      <w:r w:rsidR="00210067">
        <w:rPr>
          <w:rFonts w:ascii="Times New Roman" w:hAnsi="Times New Roman" w:cs="Times New Roman"/>
        </w:rPr>
        <w:t>Each internship</w:t>
      </w:r>
      <w:r w:rsidR="007936B3">
        <w:rPr>
          <w:rFonts w:ascii="Times New Roman" w:hAnsi="Times New Roman" w:cs="Times New Roman"/>
        </w:rPr>
        <w:t xml:space="preserve"> and fellowship</w:t>
      </w:r>
      <w:r w:rsidR="00210067">
        <w:rPr>
          <w:rFonts w:ascii="Times New Roman" w:hAnsi="Times New Roman" w:cs="Times New Roman"/>
        </w:rPr>
        <w:t xml:space="preserve"> student will be expected to</w:t>
      </w:r>
      <w:r w:rsidR="007936B3">
        <w:rPr>
          <w:rFonts w:ascii="Times New Roman" w:hAnsi="Times New Roman" w:cs="Times New Roman"/>
        </w:rPr>
        <w:t xml:space="preserve"> read two books. They will also </w:t>
      </w:r>
      <w:r w:rsidR="00210067">
        <w:rPr>
          <w:rFonts w:ascii="Times New Roman" w:hAnsi="Times New Roman" w:cs="Times New Roman"/>
        </w:rPr>
        <w:t>write a synthesizing final paper about his or her</w:t>
      </w:r>
      <w:r>
        <w:rPr>
          <w:rFonts w:ascii="Times New Roman" w:hAnsi="Times New Roman" w:cs="Times New Roman"/>
        </w:rPr>
        <w:t xml:space="preserve"> experience </w:t>
      </w:r>
      <w:r w:rsidR="007936B3">
        <w:rPr>
          <w:rFonts w:ascii="Times New Roman" w:hAnsi="Times New Roman" w:cs="Times New Roman"/>
        </w:rPr>
        <w:t>in relation to the</w:t>
      </w:r>
      <w:r>
        <w:rPr>
          <w:rFonts w:ascii="Times New Roman" w:hAnsi="Times New Roman" w:cs="Times New Roman"/>
        </w:rPr>
        <w:t xml:space="preserve"> additional literature that they have researched throughout the semester. </w:t>
      </w:r>
    </w:p>
    <w:p w14:paraId="49A80F53" w14:textId="77777777" w:rsidR="007D62B1" w:rsidRDefault="007D62B1"/>
    <w:p w14:paraId="4F60C216" w14:textId="77777777" w:rsidR="00770580" w:rsidRDefault="00770580">
      <w:pPr>
        <w:rPr>
          <w:b/>
        </w:rPr>
      </w:pPr>
      <w:r w:rsidRPr="00770580">
        <w:rPr>
          <w:b/>
        </w:rPr>
        <w:t xml:space="preserve">Bi-Weekly Meeting Schedule: </w:t>
      </w:r>
    </w:p>
    <w:tbl>
      <w:tblPr>
        <w:tblStyle w:val="TableGrid"/>
        <w:tblW w:w="0" w:type="auto"/>
        <w:tblInd w:w="108" w:type="dxa"/>
        <w:tblLook w:val="04A0" w:firstRow="1" w:lastRow="0" w:firstColumn="1" w:lastColumn="0" w:noHBand="0" w:noVBand="1"/>
      </w:tblPr>
      <w:tblGrid>
        <w:gridCol w:w="1807"/>
        <w:gridCol w:w="1915"/>
        <w:gridCol w:w="5552"/>
      </w:tblGrid>
      <w:tr w:rsidR="008A5949" w:rsidRPr="008A5949" w14:paraId="0BD20129" w14:textId="77777777" w:rsidTr="00D30018">
        <w:trPr>
          <w:trHeight w:val="908"/>
        </w:trPr>
        <w:tc>
          <w:tcPr>
            <w:tcW w:w="1807" w:type="dxa"/>
          </w:tcPr>
          <w:p w14:paraId="4E02A527" w14:textId="77777777" w:rsidR="008A5949" w:rsidRPr="008A5949" w:rsidRDefault="008A5949">
            <w:pPr>
              <w:rPr>
                <w:b/>
              </w:rPr>
            </w:pPr>
            <w:r w:rsidRPr="008A5949">
              <w:rPr>
                <w:b/>
              </w:rPr>
              <w:t>Meeting Day</w:t>
            </w:r>
          </w:p>
        </w:tc>
        <w:tc>
          <w:tcPr>
            <w:tcW w:w="1915" w:type="dxa"/>
          </w:tcPr>
          <w:p w14:paraId="568696DE" w14:textId="77777777" w:rsidR="008A5949" w:rsidRPr="008A5949" w:rsidRDefault="008A5949">
            <w:pPr>
              <w:rPr>
                <w:b/>
              </w:rPr>
            </w:pPr>
            <w:r w:rsidRPr="008A5949">
              <w:rPr>
                <w:b/>
              </w:rPr>
              <w:t>Class Discussion Leader</w:t>
            </w:r>
          </w:p>
        </w:tc>
        <w:tc>
          <w:tcPr>
            <w:tcW w:w="5552" w:type="dxa"/>
          </w:tcPr>
          <w:p w14:paraId="0456AA5A" w14:textId="77777777" w:rsidR="008A5949" w:rsidRPr="000C3FF0" w:rsidRDefault="008A5949">
            <w:pPr>
              <w:rPr>
                <w:b/>
              </w:rPr>
            </w:pPr>
            <w:r w:rsidRPr="000C3FF0">
              <w:rPr>
                <w:b/>
              </w:rPr>
              <w:t>Assignment</w:t>
            </w:r>
          </w:p>
        </w:tc>
      </w:tr>
      <w:tr w:rsidR="008A5949" w:rsidRPr="008A5949" w14:paraId="6852FA6B" w14:textId="77777777" w:rsidTr="000C3FF0">
        <w:tc>
          <w:tcPr>
            <w:tcW w:w="1807" w:type="dxa"/>
          </w:tcPr>
          <w:p w14:paraId="128339CB" w14:textId="72E9FA11" w:rsidR="008A5949" w:rsidRPr="002A2125" w:rsidRDefault="002A2125">
            <w:pPr>
              <w:rPr>
                <w:rFonts w:ascii="Times New Roman" w:hAnsi="Times New Roman" w:cs="Times New Roman"/>
              </w:rPr>
            </w:pPr>
            <w:r w:rsidRPr="002A2125">
              <w:rPr>
                <w:rFonts w:ascii="Times New Roman" w:hAnsi="Times New Roman" w:cs="Times New Roman"/>
              </w:rPr>
              <w:t xml:space="preserve">Jan. 13 </w:t>
            </w:r>
          </w:p>
        </w:tc>
        <w:tc>
          <w:tcPr>
            <w:tcW w:w="1915" w:type="dxa"/>
          </w:tcPr>
          <w:p w14:paraId="4F4CE78D" w14:textId="77777777" w:rsidR="008A5949" w:rsidRPr="002A2125" w:rsidRDefault="008A5949">
            <w:pPr>
              <w:rPr>
                <w:rFonts w:ascii="Times New Roman" w:hAnsi="Times New Roman" w:cs="Times New Roman"/>
              </w:rPr>
            </w:pPr>
            <w:r w:rsidRPr="002A2125">
              <w:rPr>
                <w:rFonts w:ascii="Times New Roman" w:hAnsi="Times New Roman" w:cs="Times New Roman"/>
              </w:rPr>
              <w:t>Kasper</w:t>
            </w:r>
          </w:p>
        </w:tc>
        <w:tc>
          <w:tcPr>
            <w:tcW w:w="5552" w:type="dxa"/>
            <w:tcBorders>
              <w:bottom w:val="single" w:sz="4" w:space="0" w:color="auto"/>
            </w:tcBorders>
          </w:tcPr>
          <w:p w14:paraId="545BFF03" w14:textId="77777777" w:rsidR="008A5949" w:rsidRPr="000C3FF0" w:rsidRDefault="008A5949">
            <w:pPr>
              <w:rPr>
                <w:rFonts w:ascii="Times New Roman" w:hAnsi="Times New Roman" w:cs="Times New Roman"/>
              </w:rPr>
            </w:pPr>
            <w:r w:rsidRPr="000C3FF0">
              <w:rPr>
                <w:rFonts w:ascii="Times New Roman" w:hAnsi="Times New Roman" w:cs="Times New Roman"/>
              </w:rPr>
              <w:t>Introductions and Overview</w:t>
            </w:r>
          </w:p>
        </w:tc>
      </w:tr>
      <w:tr w:rsidR="008A5949" w:rsidRPr="008A5949" w14:paraId="5CDCEC1C" w14:textId="77777777" w:rsidTr="000C3FF0">
        <w:tc>
          <w:tcPr>
            <w:tcW w:w="1807" w:type="dxa"/>
          </w:tcPr>
          <w:p w14:paraId="525DBD07" w14:textId="37587475" w:rsidR="008A5949" w:rsidRPr="002A2125" w:rsidRDefault="002A2125">
            <w:pPr>
              <w:rPr>
                <w:rFonts w:ascii="Times New Roman" w:hAnsi="Times New Roman" w:cs="Times New Roman"/>
              </w:rPr>
            </w:pPr>
            <w:r w:rsidRPr="002A2125">
              <w:rPr>
                <w:rFonts w:ascii="Times New Roman" w:hAnsi="Times New Roman" w:cs="Times New Roman"/>
              </w:rPr>
              <w:t>Jan. 29</w:t>
            </w:r>
          </w:p>
        </w:tc>
        <w:tc>
          <w:tcPr>
            <w:tcW w:w="1915" w:type="dxa"/>
          </w:tcPr>
          <w:p w14:paraId="71298D6E" w14:textId="455694AF" w:rsidR="008A5949" w:rsidRPr="002A2125" w:rsidRDefault="002A2125">
            <w:pPr>
              <w:rPr>
                <w:rFonts w:ascii="Times New Roman" w:hAnsi="Times New Roman" w:cs="Times New Roman"/>
              </w:rPr>
            </w:pPr>
            <w:r w:rsidRPr="002A2125">
              <w:rPr>
                <w:rFonts w:ascii="Times New Roman" w:hAnsi="Times New Roman" w:cs="Times New Roman"/>
              </w:rPr>
              <w:t xml:space="preserve">A. McKay, M. </w:t>
            </w:r>
            <w:proofErr w:type="spellStart"/>
            <w:r w:rsidRPr="002A2125">
              <w:rPr>
                <w:rFonts w:ascii="Times New Roman" w:hAnsi="Times New Roman" w:cs="Times New Roman"/>
              </w:rPr>
              <w:t>Stoneking</w:t>
            </w:r>
            <w:proofErr w:type="spellEnd"/>
            <w:r w:rsidRPr="002A2125">
              <w:rPr>
                <w:rFonts w:ascii="Times New Roman" w:hAnsi="Times New Roman" w:cs="Times New Roman"/>
              </w:rPr>
              <w:t>, and A. Singletary</w:t>
            </w:r>
          </w:p>
        </w:tc>
        <w:tc>
          <w:tcPr>
            <w:tcW w:w="5552" w:type="dxa"/>
            <w:shd w:val="clear" w:color="auto" w:fill="FFFFFF"/>
          </w:tcPr>
          <w:p w14:paraId="106F5FF3" w14:textId="7A59AD12" w:rsidR="000C3FF0" w:rsidRDefault="000C3FF0" w:rsidP="000C3FF0">
            <w:r>
              <w:rPr>
                <w:rFonts w:eastAsia="Times New Roman" w:cs="Times New Roman"/>
              </w:rPr>
              <w:t>Squaring Farm Security and Food Security in Two Types of Alternative Food Institutions</w:t>
            </w:r>
          </w:p>
          <w:p w14:paraId="1BC0B13D" w14:textId="77777777" w:rsidR="000C3FF0" w:rsidRDefault="000C3FF0" w:rsidP="000C3FF0"/>
          <w:p w14:paraId="7407733D" w14:textId="6E5D6818" w:rsidR="008A5949" w:rsidRPr="000C3FF0" w:rsidRDefault="000C3FF0" w:rsidP="000C3FF0">
            <w:r>
              <w:t>Seeds of Discontent</w:t>
            </w:r>
          </w:p>
        </w:tc>
      </w:tr>
      <w:tr w:rsidR="008A5949" w:rsidRPr="008A5949" w14:paraId="21E5904B" w14:textId="77777777" w:rsidTr="00D30018">
        <w:tc>
          <w:tcPr>
            <w:tcW w:w="1807" w:type="dxa"/>
          </w:tcPr>
          <w:p w14:paraId="225ADF3E" w14:textId="55C4506A" w:rsidR="008A5949" w:rsidRPr="007D62B1" w:rsidRDefault="002A2125">
            <w:pPr>
              <w:rPr>
                <w:rFonts w:ascii="Times New Roman" w:hAnsi="Times New Roman" w:cs="Times New Roman"/>
              </w:rPr>
            </w:pPr>
            <w:r>
              <w:rPr>
                <w:rFonts w:ascii="Times New Roman" w:hAnsi="Times New Roman" w:cs="Times New Roman"/>
              </w:rPr>
              <w:t>Feb. 12</w:t>
            </w:r>
          </w:p>
        </w:tc>
        <w:tc>
          <w:tcPr>
            <w:tcW w:w="1915" w:type="dxa"/>
          </w:tcPr>
          <w:p w14:paraId="27470856" w14:textId="7C3C29E1" w:rsidR="008A5949" w:rsidRPr="007D62B1" w:rsidRDefault="00AC08DA">
            <w:pPr>
              <w:rPr>
                <w:rFonts w:ascii="Times New Roman" w:hAnsi="Times New Roman" w:cs="Times New Roman"/>
              </w:rPr>
            </w:pPr>
            <w:r>
              <w:rPr>
                <w:rFonts w:ascii="Times New Roman" w:hAnsi="Times New Roman" w:cs="Times New Roman"/>
              </w:rPr>
              <w:t>P. Harris</w:t>
            </w:r>
          </w:p>
        </w:tc>
        <w:tc>
          <w:tcPr>
            <w:tcW w:w="5552" w:type="dxa"/>
          </w:tcPr>
          <w:p w14:paraId="2B7D28BA" w14:textId="77777777" w:rsidR="00AC08DA" w:rsidRDefault="00AC08DA" w:rsidP="00AC08DA">
            <w:pPr>
              <w:rPr>
                <w:rFonts w:ascii="Cambria" w:eastAsia="Times New Roman" w:hAnsi="Cambria" w:cs="Times New Roman"/>
              </w:rPr>
            </w:pPr>
            <w:r>
              <w:rPr>
                <w:rFonts w:ascii="Cambria" w:eastAsia="Times New Roman" w:hAnsi="Cambria" w:cs="Times New Roman"/>
              </w:rPr>
              <w:t>More Than a Pretty Place</w:t>
            </w:r>
          </w:p>
          <w:p w14:paraId="7B902CA7" w14:textId="77777777" w:rsidR="00AC08DA" w:rsidRPr="000C3FF0" w:rsidRDefault="00AC08DA" w:rsidP="00AC08DA">
            <w:pPr>
              <w:rPr>
                <w:rFonts w:ascii="Cambria" w:eastAsia="Times New Roman" w:hAnsi="Cambria" w:cs="Times New Roman"/>
              </w:rPr>
            </w:pPr>
          </w:p>
          <w:p w14:paraId="650DEEA3" w14:textId="77777777" w:rsidR="00AC08DA" w:rsidRPr="000C3FF0" w:rsidRDefault="00AC08DA" w:rsidP="00AC08DA">
            <w:pPr>
              <w:rPr>
                <w:rFonts w:ascii="Cambria" w:eastAsia="Times New Roman" w:hAnsi="Cambria" w:cs="Times New Roman"/>
              </w:rPr>
            </w:pPr>
            <w:r w:rsidRPr="000C3FF0">
              <w:rPr>
                <w:rFonts w:ascii="Cambria" w:eastAsia="Times New Roman" w:hAnsi="Cambria" w:cs="Times New Roman"/>
              </w:rPr>
              <w:t>All Work and No Play</w:t>
            </w:r>
          </w:p>
          <w:p w14:paraId="372858DB" w14:textId="6288D9AD" w:rsidR="00AC08DA" w:rsidRPr="000C3FF0" w:rsidRDefault="00AC08DA" w:rsidP="00AC08DA">
            <w:pPr>
              <w:rPr>
                <w:rFonts w:ascii="Times New Roman" w:eastAsia="Times New Roman" w:hAnsi="Times New Roman" w:cs="Times New Roman"/>
              </w:rPr>
            </w:pPr>
            <w:r w:rsidRPr="000C3FF0">
              <w:rPr>
                <w:rFonts w:ascii="Cambria" w:eastAsia="Times New Roman" w:hAnsi="Cambria" w:cs="Times New Roman"/>
                <w:bCs/>
                <w:kern w:val="36"/>
              </w:rPr>
              <w:t>The Importance of Outdoor Play - Let's Talk - Part 1</w:t>
            </w:r>
          </w:p>
        </w:tc>
      </w:tr>
      <w:tr w:rsidR="007D62B1" w:rsidRPr="008A5949" w14:paraId="50D77E1E" w14:textId="77777777" w:rsidTr="00D30018">
        <w:tc>
          <w:tcPr>
            <w:tcW w:w="1807" w:type="dxa"/>
          </w:tcPr>
          <w:p w14:paraId="7EDD52B3" w14:textId="696663F9" w:rsidR="007D62B1" w:rsidRPr="007D62B1" w:rsidRDefault="002A2125" w:rsidP="007D62B1">
            <w:pPr>
              <w:rPr>
                <w:rFonts w:ascii="Times New Roman" w:hAnsi="Times New Roman" w:cs="Times New Roman"/>
              </w:rPr>
            </w:pPr>
            <w:r>
              <w:rPr>
                <w:rFonts w:ascii="Times New Roman" w:hAnsi="Times New Roman" w:cs="Times New Roman"/>
              </w:rPr>
              <w:t>Feb. 26</w:t>
            </w:r>
          </w:p>
        </w:tc>
        <w:tc>
          <w:tcPr>
            <w:tcW w:w="1915" w:type="dxa"/>
          </w:tcPr>
          <w:p w14:paraId="135F390A" w14:textId="11E9C7FC" w:rsidR="007D62B1" w:rsidRPr="000C3FF0" w:rsidRDefault="002A2125" w:rsidP="002A2125">
            <w:pPr>
              <w:rPr>
                <w:rFonts w:ascii="Cambria" w:hAnsi="Cambria"/>
              </w:rPr>
            </w:pPr>
            <w:r w:rsidRPr="000C3FF0">
              <w:rPr>
                <w:rFonts w:ascii="Cambria" w:hAnsi="Cambria"/>
              </w:rPr>
              <w:t>M. Harris</w:t>
            </w:r>
          </w:p>
        </w:tc>
        <w:tc>
          <w:tcPr>
            <w:tcW w:w="5552" w:type="dxa"/>
          </w:tcPr>
          <w:p w14:paraId="731CBAC4" w14:textId="1FB1075E" w:rsidR="002A2125" w:rsidRPr="000C3FF0" w:rsidRDefault="002A2125" w:rsidP="002A2125">
            <w:pPr>
              <w:rPr>
                <w:rFonts w:ascii="Cambria" w:eastAsia="Times New Roman" w:hAnsi="Cambria"/>
              </w:rPr>
            </w:pPr>
            <w:r w:rsidRPr="000C3FF0">
              <w:rPr>
                <w:rFonts w:ascii="Cambria" w:eastAsia="Times New Roman" w:hAnsi="Cambria"/>
              </w:rPr>
              <w:t>Girls Inc.: Giving Girls a Bright Future</w:t>
            </w:r>
          </w:p>
          <w:p w14:paraId="65745C91" w14:textId="77777777" w:rsidR="002A2125" w:rsidRPr="000C3FF0" w:rsidRDefault="002A2125" w:rsidP="002A2125">
            <w:pPr>
              <w:rPr>
                <w:rFonts w:ascii="Cambria" w:eastAsia="Times New Roman" w:hAnsi="Cambria"/>
              </w:rPr>
            </w:pPr>
          </w:p>
          <w:p w14:paraId="28EE163A" w14:textId="5D518752" w:rsidR="002A2125" w:rsidRPr="000C3FF0" w:rsidRDefault="002A2125" w:rsidP="002A2125">
            <w:pPr>
              <w:rPr>
                <w:rFonts w:ascii="Cambria" w:eastAsia="Times New Roman" w:hAnsi="Cambria"/>
                <w:bCs/>
                <w:kern w:val="36"/>
              </w:rPr>
            </w:pPr>
            <w:r w:rsidRPr="000C3FF0">
              <w:rPr>
                <w:rFonts w:ascii="Cambria" w:eastAsia="Times New Roman" w:hAnsi="Cambria"/>
                <w:bCs/>
                <w:kern w:val="36"/>
              </w:rPr>
              <w:t xml:space="preserve">Girls Inc. of New York City at Rooftop Farms in Brooklyn </w:t>
            </w:r>
          </w:p>
        </w:tc>
      </w:tr>
      <w:tr w:rsidR="007D62B1" w:rsidRPr="008A5949" w14:paraId="44C9F0F6" w14:textId="77777777" w:rsidTr="00D30018">
        <w:tc>
          <w:tcPr>
            <w:tcW w:w="1807" w:type="dxa"/>
          </w:tcPr>
          <w:p w14:paraId="760E36F0" w14:textId="3C100217" w:rsidR="007D62B1" w:rsidRPr="007D62B1" w:rsidRDefault="002A2125" w:rsidP="007D62B1">
            <w:pPr>
              <w:rPr>
                <w:rFonts w:ascii="Times New Roman" w:hAnsi="Times New Roman" w:cs="Times New Roman"/>
              </w:rPr>
            </w:pPr>
            <w:r>
              <w:rPr>
                <w:rFonts w:ascii="Times New Roman" w:hAnsi="Times New Roman" w:cs="Times New Roman"/>
              </w:rPr>
              <w:t>Mar. 18</w:t>
            </w:r>
          </w:p>
        </w:tc>
        <w:tc>
          <w:tcPr>
            <w:tcW w:w="1915" w:type="dxa"/>
          </w:tcPr>
          <w:p w14:paraId="1A5E8090" w14:textId="7880E7F3" w:rsidR="007D62B1" w:rsidRPr="000C3FF0" w:rsidRDefault="00AC08DA" w:rsidP="002A2125">
            <w:pPr>
              <w:rPr>
                <w:rFonts w:ascii="Cambria" w:hAnsi="Cambria" w:cs="Times New Roman"/>
              </w:rPr>
            </w:pPr>
            <w:r>
              <w:rPr>
                <w:rFonts w:ascii="Cambria" w:hAnsi="Cambria" w:cs="Times New Roman"/>
              </w:rPr>
              <w:t>J. Tuttle</w:t>
            </w:r>
            <w:bookmarkStart w:id="0" w:name="_GoBack"/>
            <w:bookmarkEnd w:id="0"/>
          </w:p>
        </w:tc>
        <w:tc>
          <w:tcPr>
            <w:tcW w:w="5552" w:type="dxa"/>
          </w:tcPr>
          <w:p w14:paraId="7D9D1B17" w14:textId="77777777" w:rsidR="00AC08DA" w:rsidRPr="000C3FF0" w:rsidRDefault="000C3FF0" w:rsidP="00AC08DA">
            <w:pPr>
              <w:rPr>
                <w:rFonts w:eastAsia="Times New Roman" w:cs="Times New Roman"/>
              </w:rPr>
            </w:pPr>
            <w:r w:rsidRPr="000C3FF0">
              <w:rPr>
                <w:rFonts w:ascii="Cambria" w:eastAsia="Times New Roman" w:hAnsi="Cambria" w:cs="Times New Roman"/>
                <w:bCs/>
                <w:kern w:val="36"/>
              </w:rPr>
              <w:t xml:space="preserve"> </w:t>
            </w:r>
            <w:r w:rsidR="00AC08DA" w:rsidRPr="000C3FF0">
              <w:rPr>
                <w:rFonts w:eastAsia="Times New Roman" w:cs="Times New Roman"/>
              </w:rPr>
              <w:t>Access, Equity, and Urban Greenways: An Exploratory Investigation</w:t>
            </w:r>
          </w:p>
          <w:p w14:paraId="0F2539B2" w14:textId="77777777" w:rsidR="00AC08DA" w:rsidRPr="000C3FF0" w:rsidRDefault="00AC08DA" w:rsidP="00AC08DA">
            <w:pPr>
              <w:rPr>
                <w:rFonts w:eastAsia="Times New Roman" w:cs="Times New Roman"/>
              </w:rPr>
            </w:pPr>
          </w:p>
          <w:p w14:paraId="22230A5A" w14:textId="77777777" w:rsidR="00AC08DA" w:rsidRDefault="00AC08DA" w:rsidP="00AC08DA">
            <w:pPr>
              <w:rPr>
                <w:rFonts w:eastAsia="Times New Roman" w:cs="Times New Roman"/>
              </w:rPr>
            </w:pPr>
            <w:r w:rsidRPr="000C3FF0">
              <w:rPr>
                <w:rFonts w:eastAsia="Times New Roman" w:cs="Times New Roman"/>
              </w:rPr>
              <w:t>Reclaiming the Streets</w:t>
            </w:r>
          </w:p>
          <w:p w14:paraId="698F9813" w14:textId="73E746C1" w:rsidR="000C3FF0" w:rsidRPr="000C3FF0" w:rsidRDefault="000C3FF0" w:rsidP="000C3FF0">
            <w:pPr>
              <w:spacing w:before="100" w:beforeAutospacing="1" w:after="100" w:afterAutospacing="1"/>
              <w:outlineLvl w:val="0"/>
              <w:rPr>
                <w:rFonts w:ascii="Cambria" w:eastAsia="Times New Roman" w:hAnsi="Cambria" w:cs="Times New Roman"/>
                <w:bCs/>
                <w:kern w:val="36"/>
              </w:rPr>
            </w:pPr>
          </w:p>
        </w:tc>
      </w:tr>
      <w:tr w:rsidR="007D62B1" w:rsidRPr="008A5949" w14:paraId="36B5A19F" w14:textId="77777777" w:rsidTr="00D30018">
        <w:tc>
          <w:tcPr>
            <w:tcW w:w="1807" w:type="dxa"/>
          </w:tcPr>
          <w:p w14:paraId="122DE1F7" w14:textId="2FE5F1E4" w:rsidR="007D62B1" w:rsidRPr="007D62B1" w:rsidRDefault="002A2125">
            <w:pPr>
              <w:rPr>
                <w:rFonts w:ascii="Times New Roman" w:hAnsi="Times New Roman" w:cs="Times New Roman"/>
              </w:rPr>
            </w:pPr>
            <w:r>
              <w:rPr>
                <w:rFonts w:ascii="Times New Roman" w:hAnsi="Times New Roman" w:cs="Times New Roman"/>
              </w:rPr>
              <w:t>Apr. 1</w:t>
            </w:r>
          </w:p>
        </w:tc>
        <w:tc>
          <w:tcPr>
            <w:tcW w:w="1915" w:type="dxa"/>
          </w:tcPr>
          <w:p w14:paraId="054276FC" w14:textId="2A431F01" w:rsidR="002A2125" w:rsidRPr="007D62B1" w:rsidRDefault="002A2125" w:rsidP="002A2125">
            <w:r>
              <w:t>E. Cerrito, D. Smith and Q. Jacobs</w:t>
            </w:r>
          </w:p>
        </w:tc>
        <w:tc>
          <w:tcPr>
            <w:tcW w:w="5552" w:type="dxa"/>
          </w:tcPr>
          <w:p w14:paraId="4BE7F7E2" w14:textId="1105743D" w:rsidR="000C3FF0" w:rsidRDefault="000C3FF0" w:rsidP="002A2125">
            <w:r>
              <w:t>The Urban Rabbit Patch</w:t>
            </w:r>
          </w:p>
          <w:p w14:paraId="1D1D885F" w14:textId="77777777" w:rsidR="000C3FF0" w:rsidRDefault="000C3FF0" w:rsidP="002A2125"/>
          <w:p w14:paraId="45D45CA8" w14:textId="25050044" w:rsidR="007D62B1" w:rsidRDefault="000C3FF0" w:rsidP="002A2125">
            <w:r>
              <w:t>What the Trees Are Teaching Us</w:t>
            </w:r>
          </w:p>
          <w:p w14:paraId="68635592" w14:textId="77777777" w:rsidR="000C3FF0" w:rsidRDefault="000C3FF0" w:rsidP="002A2125"/>
          <w:p w14:paraId="18F98024" w14:textId="6DD6E6DB" w:rsidR="000C3FF0" w:rsidRPr="007D62B1" w:rsidRDefault="000C3FF0" w:rsidP="002A2125">
            <w:r>
              <w:t>How to Grow A Tiny Forest Anywhere</w:t>
            </w:r>
          </w:p>
        </w:tc>
      </w:tr>
      <w:tr w:rsidR="007D62B1" w:rsidRPr="008A5949" w14:paraId="6D93ED7C" w14:textId="77777777" w:rsidTr="00D30018">
        <w:tc>
          <w:tcPr>
            <w:tcW w:w="1807" w:type="dxa"/>
          </w:tcPr>
          <w:p w14:paraId="7106219B" w14:textId="3D452589" w:rsidR="007D62B1" w:rsidRPr="007D62B1" w:rsidRDefault="002A2125" w:rsidP="00D30018">
            <w:pPr>
              <w:rPr>
                <w:rFonts w:ascii="Times New Roman" w:hAnsi="Times New Roman" w:cs="Times New Roman"/>
              </w:rPr>
            </w:pPr>
            <w:r>
              <w:rPr>
                <w:rFonts w:ascii="Times New Roman" w:hAnsi="Times New Roman" w:cs="Times New Roman"/>
              </w:rPr>
              <w:t>Apr. 15</w:t>
            </w:r>
          </w:p>
        </w:tc>
        <w:tc>
          <w:tcPr>
            <w:tcW w:w="1915" w:type="dxa"/>
          </w:tcPr>
          <w:p w14:paraId="3B040F0F" w14:textId="34D932FD" w:rsidR="007D62B1" w:rsidRPr="007D62B1" w:rsidRDefault="002A2125" w:rsidP="002A2125">
            <w:r>
              <w:t>E. Hoch</w:t>
            </w:r>
          </w:p>
        </w:tc>
        <w:tc>
          <w:tcPr>
            <w:tcW w:w="5552" w:type="dxa"/>
          </w:tcPr>
          <w:p w14:paraId="7277E0E7" w14:textId="77777777" w:rsidR="002A2125" w:rsidRDefault="002A2125" w:rsidP="002A2125">
            <w:r>
              <w:t>“Wiping the Refugee Dust from My Feet”:</w:t>
            </w:r>
          </w:p>
          <w:p w14:paraId="7BFBF952" w14:textId="77777777" w:rsidR="002A2125" w:rsidRDefault="002A2125" w:rsidP="002A2125">
            <w:r>
              <w:t>Advantages and Burdens of Refugee Status</w:t>
            </w:r>
          </w:p>
          <w:p w14:paraId="54C353E7" w14:textId="5BD55D28" w:rsidR="002A2125" w:rsidRDefault="002A2125" w:rsidP="002A2125">
            <w:proofErr w:type="gramStart"/>
            <w:r>
              <w:t>and</w:t>
            </w:r>
            <w:proofErr w:type="gramEnd"/>
            <w:r>
              <w:t xml:space="preserve"> the Refugee Label</w:t>
            </w:r>
          </w:p>
          <w:p w14:paraId="2363A6FE" w14:textId="77777777" w:rsidR="002A2125" w:rsidRDefault="002A2125" w:rsidP="002A2125"/>
          <w:p w14:paraId="2CAFC136" w14:textId="410A217C" w:rsidR="007D62B1" w:rsidRPr="007D62B1" w:rsidRDefault="002A2125" w:rsidP="002A2125">
            <w:r>
              <w:t>U.S. Record on Refugees Reflects Domestic and Global Challenges</w:t>
            </w:r>
          </w:p>
        </w:tc>
      </w:tr>
      <w:tr w:rsidR="00D30018" w:rsidRPr="008A5949" w14:paraId="213FD8A5" w14:textId="77777777" w:rsidTr="002A2125">
        <w:tc>
          <w:tcPr>
            <w:tcW w:w="1807" w:type="dxa"/>
          </w:tcPr>
          <w:p w14:paraId="5F0AA914" w14:textId="12F901DA" w:rsidR="00D30018" w:rsidRPr="007D62B1" w:rsidRDefault="002A2125">
            <w:pPr>
              <w:rPr>
                <w:rFonts w:ascii="Times New Roman" w:hAnsi="Times New Roman" w:cs="Times New Roman"/>
              </w:rPr>
            </w:pPr>
            <w:r>
              <w:t>Apr. 2</w:t>
            </w:r>
            <w:r w:rsidR="00AC08DA">
              <w:t>7</w:t>
            </w:r>
          </w:p>
        </w:tc>
        <w:tc>
          <w:tcPr>
            <w:tcW w:w="7467" w:type="dxa"/>
            <w:gridSpan w:val="2"/>
          </w:tcPr>
          <w:p w14:paraId="08EA97F1" w14:textId="77777777" w:rsidR="00D30018" w:rsidRPr="00D30018" w:rsidRDefault="00D30018">
            <w:pPr>
              <w:rPr>
                <w:b/>
              </w:rPr>
            </w:pPr>
            <w:r w:rsidRPr="00D30018">
              <w:rPr>
                <w:b/>
              </w:rPr>
              <w:t>LUNCH WITH COMMUNITY PARTNERS- CARITAS VILLAGE</w:t>
            </w:r>
          </w:p>
          <w:p w14:paraId="60A7D268" w14:textId="2AD3AE33" w:rsidR="00D30018" w:rsidRPr="007D62B1" w:rsidRDefault="00D30018">
            <w:pPr>
              <w:rPr>
                <w:rFonts w:ascii="Times New Roman" w:hAnsi="Times New Roman" w:cs="Times New Roman"/>
              </w:rPr>
            </w:pPr>
            <w:r w:rsidRPr="00D30018">
              <w:rPr>
                <w:rFonts w:ascii="Times New Roman" w:hAnsi="Times New Roman" w:cs="Times New Roman"/>
                <w:b/>
              </w:rPr>
              <w:t>REFLECTION DAY</w:t>
            </w:r>
            <w:r>
              <w:rPr>
                <w:rFonts w:ascii="Times New Roman" w:hAnsi="Times New Roman" w:cs="Times New Roman"/>
              </w:rPr>
              <w:t xml:space="preserve"> </w:t>
            </w:r>
          </w:p>
        </w:tc>
      </w:tr>
    </w:tbl>
    <w:p w14:paraId="0C861D6D" w14:textId="77777777" w:rsidR="00770580" w:rsidRDefault="00770580" w:rsidP="006772D6"/>
    <w:sectPr w:rsidR="00770580" w:rsidSect="000C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nion Pro Bold Cond">
    <w:panose1 w:val="0204070606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4F"/>
    <w:rsid w:val="000C3FF0"/>
    <w:rsid w:val="00210067"/>
    <w:rsid w:val="002A2125"/>
    <w:rsid w:val="00503AB6"/>
    <w:rsid w:val="006772D6"/>
    <w:rsid w:val="00770580"/>
    <w:rsid w:val="007936B3"/>
    <w:rsid w:val="007D62B1"/>
    <w:rsid w:val="00857D4F"/>
    <w:rsid w:val="008A5949"/>
    <w:rsid w:val="00956279"/>
    <w:rsid w:val="00A11FF2"/>
    <w:rsid w:val="00AC08DA"/>
    <w:rsid w:val="00CD3BC5"/>
    <w:rsid w:val="00D30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0F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D4F"/>
    <w:rPr>
      <w:rFonts w:ascii="Lucida Grande" w:hAnsi="Lucida Grande" w:cs="Lucida Grande"/>
      <w:sz w:val="18"/>
      <w:szCs w:val="18"/>
    </w:rPr>
  </w:style>
  <w:style w:type="table" w:styleId="TableGrid">
    <w:name w:val="Table Grid"/>
    <w:basedOn w:val="TableNormal"/>
    <w:uiPriority w:val="59"/>
    <w:rsid w:val="00770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5949"/>
    <w:rPr>
      <w:color w:val="0000FF"/>
      <w:u w:val="single"/>
    </w:rPr>
  </w:style>
  <w:style w:type="character" w:styleId="FollowedHyperlink">
    <w:name w:val="FollowedHyperlink"/>
    <w:basedOn w:val="DefaultParagraphFont"/>
    <w:uiPriority w:val="99"/>
    <w:semiHidden/>
    <w:unhideWhenUsed/>
    <w:rsid w:val="008A5949"/>
    <w:rPr>
      <w:color w:val="800080" w:themeColor="followedHyperlink"/>
      <w:u w:val="single"/>
    </w:rPr>
  </w:style>
  <w:style w:type="paragraph" w:styleId="NormalWeb">
    <w:name w:val="Normal (Web)"/>
    <w:basedOn w:val="Normal"/>
    <w:uiPriority w:val="99"/>
    <w:semiHidden/>
    <w:unhideWhenUsed/>
    <w:rsid w:val="002A212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D4F"/>
    <w:rPr>
      <w:rFonts w:ascii="Lucida Grande" w:hAnsi="Lucida Grande" w:cs="Lucida Grande"/>
      <w:sz w:val="18"/>
      <w:szCs w:val="18"/>
    </w:rPr>
  </w:style>
  <w:style w:type="table" w:styleId="TableGrid">
    <w:name w:val="Table Grid"/>
    <w:basedOn w:val="TableNormal"/>
    <w:uiPriority w:val="59"/>
    <w:rsid w:val="00770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5949"/>
    <w:rPr>
      <w:color w:val="0000FF"/>
      <w:u w:val="single"/>
    </w:rPr>
  </w:style>
  <w:style w:type="character" w:styleId="FollowedHyperlink">
    <w:name w:val="FollowedHyperlink"/>
    <w:basedOn w:val="DefaultParagraphFont"/>
    <w:uiPriority w:val="99"/>
    <w:semiHidden/>
    <w:unhideWhenUsed/>
    <w:rsid w:val="008A5949"/>
    <w:rPr>
      <w:color w:val="800080" w:themeColor="followedHyperlink"/>
      <w:u w:val="single"/>
    </w:rPr>
  </w:style>
  <w:style w:type="paragraph" w:styleId="NormalWeb">
    <w:name w:val="Normal (Web)"/>
    <w:basedOn w:val="Normal"/>
    <w:uiPriority w:val="99"/>
    <w:semiHidden/>
    <w:unhideWhenUsed/>
    <w:rsid w:val="002A212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8405">
      <w:bodyDiv w:val="1"/>
      <w:marLeft w:val="0"/>
      <w:marRight w:val="0"/>
      <w:marTop w:val="0"/>
      <w:marBottom w:val="0"/>
      <w:divBdr>
        <w:top w:val="none" w:sz="0" w:space="0" w:color="auto"/>
        <w:left w:val="none" w:sz="0" w:space="0" w:color="auto"/>
        <w:bottom w:val="none" w:sz="0" w:space="0" w:color="auto"/>
        <w:right w:val="none" w:sz="0" w:space="0" w:color="auto"/>
      </w:divBdr>
    </w:div>
    <w:div w:id="853686585">
      <w:bodyDiv w:val="1"/>
      <w:marLeft w:val="0"/>
      <w:marRight w:val="0"/>
      <w:marTop w:val="0"/>
      <w:marBottom w:val="0"/>
      <w:divBdr>
        <w:top w:val="none" w:sz="0" w:space="0" w:color="auto"/>
        <w:left w:val="none" w:sz="0" w:space="0" w:color="auto"/>
        <w:bottom w:val="none" w:sz="0" w:space="0" w:color="auto"/>
        <w:right w:val="none" w:sz="0" w:space="0" w:color="auto"/>
      </w:divBdr>
    </w:div>
    <w:div w:id="1312713249">
      <w:bodyDiv w:val="1"/>
      <w:marLeft w:val="0"/>
      <w:marRight w:val="0"/>
      <w:marTop w:val="0"/>
      <w:marBottom w:val="0"/>
      <w:divBdr>
        <w:top w:val="none" w:sz="0" w:space="0" w:color="auto"/>
        <w:left w:val="none" w:sz="0" w:space="0" w:color="auto"/>
        <w:bottom w:val="none" w:sz="0" w:space="0" w:color="auto"/>
        <w:right w:val="none" w:sz="0" w:space="0" w:color="auto"/>
      </w:divBdr>
      <w:divsChild>
        <w:div w:id="463892340">
          <w:marLeft w:val="0"/>
          <w:marRight w:val="0"/>
          <w:marTop w:val="0"/>
          <w:marBottom w:val="0"/>
          <w:divBdr>
            <w:top w:val="none" w:sz="0" w:space="0" w:color="auto"/>
            <w:left w:val="none" w:sz="0" w:space="0" w:color="auto"/>
            <w:bottom w:val="none" w:sz="0" w:space="0" w:color="auto"/>
            <w:right w:val="none" w:sz="0" w:space="0" w:color="auto"/>
          </w:divBdr>
        </w:div>
        <w:div w:id="1271670519">
          <w:marLeft w:val="0"/>
          <w:marRight w:val="0"/>
          <w:marTop w:val="0"/>
          <w:marBottom w:val="0"/>
          <w:divBdr>
            <w:top w:val="none" w:sz="0" w:space="0" w:color="auto"/>
            <w:left w:val="none" w:sz="0" w:space="0" w:color="auto"/>
            <w:bottom w:val="none" w:sz="0" w:space="0" w:color="auto"/>
            <w:right w:val="none" w:sz="0" w:space="0" w:color="auto"/>
          </w:divBdr>
        </w:div>
        <w:div w:id="1720402191">
          <w:marLeft w:val="0"/>
          <w:marRight w:val="0"/>
          <w:marTop w:val="0"/>
          <w:marBottom w:val="0"/>
          <w:divBdr>
            <w:top w:val="none" w:sz="0" w:space="0" w:color="auto"/>
            <w:left w:val="none" w:sz="0" w:space="0" w:color="auto"/>
            <w:bottom w:val="none" w:sz="0" w:space="0" w:color="auto"/>
            <w:right w:val="none" w:sz="0" w:space="0" w:color="auto"/>
          </w:divBdr>
        </w:div>
        <w:div w:id="1757020654">
          <w:marLeft w:val="0"/>
          <w:marRight w:val="0"/>
          <w:marTop w:val="0"/>
          <w:marBottom w:val="0"/>
          <w:divBdr>
            <w:top w:val="none" w:sz="0" w:space="0" w:color="auto"/>
            <w:left w:val="none" w:sz="0" w:space="0" w:color="auto"/>
            <w:bottom w:val="none" w:sz="0" w:space="0" w:color="auto"/>
            <w:right w:val="none" w:sz="0" w:space="0" w:color="auto"/>
          </w:divBdr>
        </w:div>
        <w:div w:id="484905327">
          <w:marLeft w:val="0"/>
          <w:marRight w:val="0"/>
          <w:marTop w:val="0"/>
          <w:marBottom w:val="0"/>
          <w:divBdr>
            <w:top w:val="none" w:sz="0" w:space="0" w:color="auto"/>
            <w:left w:val="none" w:sz="0" w:space="0" w:color="auto"/>
            <w:bottom w:val="none" w:sz="0" w:space="0" w:color="auto"/>
            <w:right w:val="none" w:sz="0" w:space="0" w:color="auto"/>
          </w:divBdr>
        </w:div>
      </w:divsChild>
    </w:div>
    <w:div w:id="1464469161">
      <w:bodyDiv w:val="1"/>
      <w:marLeft w:val="0"/>
      <w:marRight w:val="0"/>
      <w:marTop w:val="0"/>
      <w:marBottom w:val="0"/>
      <w:divBdr>
        <w:top w:val="none" w:sz="0" w:space="0" w:color="auto"/>
        <w:left w:val="none" w:sz="0" w:space="0" w:color="auto"/>
        <w:bottom w:val="none" w:sz="0" w:space="0" w:color="auto"/>
        <w:right w:val="none" w:sz="0" w:space="0" w:color="auto"/>
      </w:divBdr>
    </w:div>
    <w:div w:id="1674915796">
      <w:bodyDiv w:val="1"/>
      <w:marLeft w:val="0"/>
      <w:marRight w:val="0"/>
      <w:marTop w:val="0"/>
      <w:marBottom w:val="0"/>
      <w:divBdr>
        <w:top w:val="none" w:sz="0" w:space="0" w:color="auto"/>
        <w:left w:val="none" w:sz="0" w:space="0" w:color="auto"/>
        <w:bottom w:val="none" w:sz="0" w:space="0" w:color="auto"/>
        <w:right w:val="none" w:sz="0" w:space="0" w:color="auto"/>
      </w:divBdr>
    </w:div>
    <w:div w:id="2033921646">
      <w:bodyDiv w:val="1"/>
      <w:marLeft w:val="0"/>
      <w:marRight w:val="0"/>
      <w:marTop w:val="0"/>
      <w:marBottom w:val="0"/>
      <w:divBdr>
        <w:top w:val="none" w:sz="0" w:space="0" w:color="auto"/>
        <w:left w:val="none" w:sz="0" w:space="0" w:color="auto"/>
        <w:bottom w:val="none" w:sz="0" w:space="0" w:color="auto"/>
        <w:right w:val="none" w:sz="0" w:space="0" w:color="auto"/>
      </w:divBdr>
    </w:div>
    <w:div w:id="2093358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9C5F-9562-9046-AA3E-F0FCB1CB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469</Words>
  <Characters>2624</Characters>
  <Application>Microsoft Macintosh Word</Application>
  <DocSecurity>0</DocSecurity>
  <Lines>53</Lines>
  <Paragraphs>18</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Kasper</dc:creator>
  <cp:keywords/>
  <dc:description/>
  <cp:lastModifiedBy>Kimberly Kasper</cp:lastModifiedBy>
  <cp:revision>4</cp:revision>
  <cp:lastPrinted>2015-09-11T16:50:00Z</cp:lastPrinted>
  <dcterms:created xsi:type="dcterms:W3CDTF">2016-01-28T19:12:00Z</dcterms:created>
  <dcterms:modified xsi:type="dcterms:W3CDTF">2016-02-11T21:56:00Z</dcterms:modified>
</cp:coreProperties>
</file>